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1C88" w14:textId="7E005201" w:rsidR="00AF47EC" w:rsidRDefault="00AF47EC" w:rsidP="00AF47EC">
      <w:pPr>
        <w:shd w:val="clear" w:color="auto" w:fill="E6E6E6"/>
        <w:spacing w:before="100" w:beforeAutospacing="1" w:after="100" w:afterAutospacing="1" w:line="240" w:lineRule="auto"/>
        <w:outlineLvl w:val="1"/>
        <w:rPr>
          <w:rFonts w:ascii="Merriweather" w:eastAsia="Times New Roman" w:hAnsi="Merriweather" w:cs="Times New Roman"/>
          <w:color w:val="4F4E53"/>
          <w:lang w:eastAsia="it-IT"/>
        </w:rPr>
      </w:pPr>
      <w:r>
        <w:rPr>
          <w:rFonts w:ascii="Merriweather" w:eastAsia="Times New Roman" w:hAnsi="Merriweather" w:cs="Times New Roman"/>
          <w:color w:val="4F4E53"/>
          <w:lang w:eastAsia="it-IT"/>
        </w:rPr>
        <w:t>PORTALECCE</w:t>
      </w:r>
    </w:p>
    <w:p w14:paraId="35F62C42" w14:textId="727AD89E" w:rsidR="00AF47EC" w:rsidRPr="00AF47EC" w:rsidRDefault="00AF47EC" w:rsidP="00AF47EC">
      <w:pPr>
        <w:shd w:val="clear" w:color="auto" w:fill="E6E6E6"/>
        <w:spacing w:before="100" w:beforeAutospacing="1" w:after="100" w:afterAutospacing="1" w:line="240" w:lineRule="auto"/>
        <w:outlineLvl w:val="1"/>
        <w:rPr>
          <w:rFonts w:ascii="Merriweather" w:eastAsia="Times New Roman" w:hAnsi="Merriweather" w:cs="Times New Roman"/>
          <w:color w:val="4F4E53"/>
          <w:lang w:eastAsia="it-IT"/>
        </w:rPr>
      </w:pPr>
      <w:r w:rsidRPr="00AF47EC">
        <w:rPr>
          <w:rFonts w:ascii="Merriweather" w:eastAsia="Times New Roman" w:hAnsi="Merriweather" w:cs="Times New Roman"/>
          <w:color w:val="4F4E53"/>
          <w:lang w:eastAsia="it-IT"/>
        </w:rPr>
        <w:t>https://www.portalecce.it/index.php/piazza-duomo-diocesi-di-lecce/ave-orontii/10566-le-citta-oronziane-riunite-a-botrugno-per-promuovere-le-vie-oronziane-siglato-un-accordo</w:t>
      </w:r>
    </w:p>
    <w:p w14:paraId="57A64B85" w14:textId="14E87C53" w:rsidR="00AF47EC" w:rsidRPr="00AF47EC" w:rsidRDefault="00AF47EC" w:rsidP="00AF47EC">
      <w:pPr>
        <w:shd w:val="clear" w:color="auto" w:fill="E6E6E6"/>
        <w:spacing w:before="100" w:beforeAutospacing="1" w:after="100" w:afterAutospacing="1" w:line="240" w:lineRule="auto"/>
        <w:outlineLvl w:val="1"/>
        <w:rPr>
          <w:rFonts w:ascii="Merriweather" w:eastAsia="Times New Roman" w:hAnsi="Merriweather" w:cs="Times New Roman"/>
          <w:color w:val="4F4E53"/>
          <w:sz w:val="36"/>
          <w:szCs w:val="36"/>
          <w:lang w:eastAsia="it-IT"/>
        </w:rPr>
      </w:pPr>
      <w:r w:rsidRPr="00AF47EC">
        <w:rPr>
          <w:rFonts w:ascii="Merriweather" w:eastAsia="Times New Roman" w:hAnsi="Merriweather" w:cs="Times New Roman"/>
          <w:color w:val="4F4E53"/>
          <w:sz w:val="36"/>
          <w:szCs w:val="36"/>
          <w:lang w:eastAsia="it-IT"/>
        </w:rPr>
        <w:t xml:space="preserve">Le Città </w:t>
      </w:r>
      <w:proofErr w:type="spellStart"/>
      <w:r w:rsidRPr="00AF47EC">
        <w:rPr>
          <w:rFonts w:ascii="Merriweather" w:eastAsia="Times New Roman" w:hAnsi="Merriweather" w:cs="Times New Roman"/>
          <w:color w:val="4F4E53"/>
          <w:sz w:val="36"/>
          <w:szCs w:val="36"/>
          <w:lang w:eastAsia="it-IT"/>
        </w:rPr>
        <w:t>Oronziane</w:t>
      </w:r>
      <w:proofErr w:type="spellEnd"/>
      <w:r w:rsidRPr="00AF47EC">
        <w:rPr>
          <w:rFonts w:ascii="Merriweather" w:eastAsia="Times New Roman" w:hAnsi="Merriweather" w:cs="Times New Roman"/>
          <w:color w:val="4F4E53"/>
          <w:sz w:val="36"/>
          <w:szCs w:val="36"/>
          <w:lang w:eastAsia="it-IT"/>
        </w:rPr>
        <w:t xml:space="preserve"> riunite a Botrugno per promuovere le ‘Vie </w:t>
      </w:r>
      <w:proofErr w:type="spellStart"/>
      <w:r w:rsidRPr="00AF47EC">
        <w:rPr>
          <w:rFonts w:ascii="Merriweather" w:eastAsia="Times New Roman" w:hAnsi="Merriweather" w:cs="Times New Roman"/>
          <w:color w:val="4F4E53"/>
          <w:sz w:val="36"/>
          <w:szCs w:val="36"/>
          <w:lang w:eastAsia="it-IT"/>
        </w:rPr>
        <w:t>Oronziane</w:t>
      </w:r>
      <w:proofErr w:type="spellEnd"/>
      <w:r w:rsidRPr="00AF47EC">
        <w:rPr>
          <w:rFonts w:ascii="Merriweather" w:eastAsia="Times New Roman" w:hAnsi="Merriweather" w:cs="Times New Roman"/>
          <w:color w:val="4F4E53"/>
          <w:sz w:val="36"/>
          <w:szCs w:val="36"/>
          <w:lang w:eastAsia="it-IT"/>
        </w:rPr>
        <w:t>’: siglato un accordo</w:t>
      </w:r>
    </w:p>
    <w:p w14:paraId="21AC1039" w14:textId="77777777" w:rsidR="00AF47EC" w:rsidRPr="00AF47EC" w:rsidRDefault="00AF47EC" w:rsidP="00AF47EC">
      <w:pPr>
        <w:shd w:val="clear" w:color="auto" w:fill="E6E6E6"/>
        <w:spacing w:after="0" w:line="480" w:lineRule="auto"/>
        <w:ind w:left="720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di </w:t>
      </w:r>
      <w:proofErr w:type="spellStart"/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portalecce</w:t>
      </w:r>
      <w:proofErr w:type="spellEnd"/>
    </w:p>
    <w:p w14:paraId="60F72B8E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999999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999999"/>
          <w:sz w:val="24"/>
          <w:szCs w:val="24"/>
          <w:lang w:eastAsia="it-IT"/>
        </w:rPr>
        <w:t> </w:t>
      </w:r>
    </w:p>
    <w:p w14:paraId="392A87EB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999999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999999"/>
          <w:sz w:val="24"/>
          <w:szCs w:val="24"/>
          <w:lang w:eastAsia="it-IT"/>
        </w:rPr>
        <w:t> </w:t>
      </w:r>
    </w:p>
    <w:p w14:paraId="2FAD0A01" w14:textId="340DEA76" w:rsidR="00AF47EC" w:rsidRPr="00AF47EC" w:rsidRDefault="00AF47EC" w:rsidP="00AF47EC">
      <w:pPr>
        <w:shd w:val="clear" w:color="auto" w:fill="E6E6E6"/>
        <w:spacing w:after="0" w:line="480" w:lineRule="auto"/>
        <w:ind w:left="720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 22 Febbraio 2022</w:t>
      </w:r>
    </w:p>
    <w:p w14:paraId="1C6594B8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Giornata decisamente “valida” quella di domenica scorsa vissuta a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Botrugno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nella Arcidiocesi di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Otranto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. “Valida”, perché il tempo, gli incontri tra le persone, le idee condivise, i progetti che si intendono realizzare, sono stati sostenuti da una intelligente creatività, concretezza e fattibilità. Non è stato sprecato né tempo, né opportunità.</w:t>
      </w:r>
    </w:p>
    <w:p w14:paraId="00070DD8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</w:t>
      </w:r>
    </w:p>
    <w:p w14:paraId="29AAD762" w14:textId="4AD356BB" w:rsidR="00AF47EC" w:rsidRPr="00AF47EC" w:rsidRDefault="00AF47EC" w:rsidP="00AF47EC">
      <w:pPr>
        <w:shd w:val="clear" w:color="auto" w:fill="E6E6E6"/>
        <w:spacing w:after="0" w:line="240" w:lineRule="auto"/>
        <w:jc w:val="center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noProof/>
          <w:color w:val="4F4E53"/>
          <w:sz w:val="24"/>
          <w:szCs w:val="24"/>
          <w:lang w:eastAsia="it-IT"/>
        </w:rPr>
        <w:drawing>
          <wp:inline distT="0" distB="0" distL="0" distR="0" wp14:anchorId="7FCFCA86" wp14:editId="3D8FA5AB">
            <wp:extent cx="6120130" cy="30645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A21F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</w:t>
      </w:r>
    </w:p>
    <w:p w14:paraId="4AF9465E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</w:t>
      </w:r>
    </w:p>
    <w:p w14:paraId="580D6C73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Nella tarda mattinata ha preso avvio un incontro al quale hanno partecipato i sindaci e gli amministratori dei comuni il cui protettore e patrono è Sant’Oronzo, alla presenza del sindaco di Botrugno,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 xml:space="preserve">Silvano </w:t>
      </w:r>
      <w:proofErr w:type="spellStart"/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Macculi</w:t>
      </w:r>
      <w:proofErr w:type="spell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 di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Aldo Patruno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 direttore del Dipartimento turismo, economia della cultura e valorizzazione del territorio presso l’assessorato regionale alla cultura della Regione Puglia,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don Giovanni Amodio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 arciprete di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Turi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e custode della reliquia di Sant’Oronzo e il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prof. Renato Di Gregorio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esperto di organizzazione territoriale.</w:t>
      </w:r>
    </w:p>
    <w:p w14:paraId="16064BA0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È stata l’occasione per sottoscrivere un accordo che inserisce le “Vie </w:t>
      </w:r>
      <w:proofErr w:type="spellStart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Oronziane</w:t>
      </w:r>
      <w:proofErr w:type="spell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” nel circuito della via Francigena che, nella storia, legava l’Europa a Gerusalemme, la Terra Santa, passando per la Puglia, “</w:t>
      </w:r>
      <w:proofErr w:type="spellStart"/>
      <w:r w:rsidRPr="00AF47EC">
        <w:rPr>
          <w:rFonts w:ascii="Helvetica" w:eastAsia="Times New Roman" w:hAnsi="Helvetica" w:cs="Times New Roman"/>
          <w:i/>
          <w:iCs/>
          <w:color w:val="4F4E53"/>
          <w:sz w:val="24"/>
          <w:szCs w:val="24"/>
          <w:lang w:eastAsia="it-IT"/>
        </w:rPr>
        <w:t>Finibus</w:t>
      </w:r>
      <w:proofErr w:type="spellEnd"/>
      <w:r w:rsidRPr="00AF47EC">
        <w:rPr>
          <w:rFonts w:ascii="Helvetica" w:eastAsia="Times New Roman" w:hAnsi="Helvetica" w:cs="Times New Roman"/>
          <w:i/>
          <w:iCs/>
          <w:color w:val="4F4E53"/>
          <w:sz w:val="24"/>
          <w:szCs w:val="24"/>
          <w:lang w:eastAsia="it-IT"/>
        </w:rPr>
        <w:t xml:space="preserve"> </w:t>
      </w:r>
      <w:proofErr w:type="spellStart"/>
      <w:r w:rsidRPr="00AF47EC">
        <w:rPr>
          <w:rFonts w:ascii="Helvetica" w:eastAsia="Times New Roman" w:hAnsi="Helvetica" w:cs="Times New Roman"/>
          <w:i/>
          <w:iCs/>
          <w:color w:val="4F4E53"/>
          <w:sz w:val="24"/>
          <w:szCs w:val="24"/>
          <w:lang w:eastAsia="it-IT"/>
        </w:rPr>
        <w:t>Terrae</w:t>
      </w:r>
      <w:proofErr w:type="spell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”, attraverso un “Cammino” a piedi, che i 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lastRenderedPageBreak/>
        <w:t>pellegrini percorrevano, di città in città, vivendo in luoghi simbolo della fede, della cultura, della cristianità, dell’identità propria delle comunità che incontravano, occasione di grande arricchimento culturale e territoriale.</w:t>
      </w:r>
    </w:p>
    <w:p w14:paraId="0A8FF66C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Le tappe delle città </w:t>
      </w:r>
      <w:proofErr w:type="spellStart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Oronziane</w:t>
      </w:r>
      <w:proofErr w:type="spell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 da Turi a Lecce, passando per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Ostuni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Campi Salentina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Surbo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Andrano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Diso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Caprarica di Lecce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Muro Leccese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 fino a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Vernole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 sono inserite in questo storico e sacro circuito. Una grande opportunità per questi territori. Sarà l’occasione preziosa per permette a tantissimi che percorreranno questi itinerari di assaporare, gustare e godere delle nostre unicità.</w:t>
      </w:r>
    </w:p>
    <w:p w14:paraId="4FED30AD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Importante incontro, dunque, impreziosito dagli interventi dei relatori che, ognuno nel suo ambito hanno dato indicazioni giuste e lungimiranti a questo importantissimo progetto.</w:t>
      </w:r>
    </w:p>
    <w:p w14:paraId="59713377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Dopo il saluto e il benvenuto del sindaco </w:t>
      </w:r>
      <w:proofErr w:type="spellStart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Macculi</w:t>
      </w:r>
      <w:proofErr w:type="spell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 che, come è nel suo stile, concreto e di poche parole ha illustrato il progetto, è stata data la parola a don Giovanni Amodio, che nel 2018 ritrova e riporta in Puglia da </w:t>
      </w:r>
      <w:proofErr w:type="spellStart"/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Nin</w:t>
      </w:r>
      <w:proofErr w:type="spell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, in Croazia, dopo 19 secoli, la reliquia del patrono Sant’Oronzo. </w:t>
      </w:r>
    </w:p>
    <w:p w14:paraId="66D0352B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Nel suo intervento, oltre a ricordare a tutti l’emozione del ritrovamento storico, ha sottolineato come il patrimonio culturale della pietà popolare delle nostre comunità deve essere valutata, custodita, è promossa come espressione altissima della nostra identità cristiana italiana ed europea.</w:t>
      </w:r>
    </w:p>
    <w:p w14:paraId="5C94A3C3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È stata l’occasione per fare dono al dott. Patruno della sua pubblicazione che raccoglie gli atti e gli avvenimenti dell’Anno Santo </w:t>
      </w:r>
      <w:proofErr w:type="spellStart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Oronziano</w:t>
      </w:r>
      <w:proofErr w:type="spell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 del 2018.</w:t>
      </w:r>
    </w:p>
    <w:p w14:paraId="68A04BD7" w14:textId="77777777" w:rsid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</w:p>
    <w:p w14:paraId="4D5B5451" w14:textId="45B9167B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Apprezzamento è stato espresso a don Giovanni dal dott. Patruno per lo studio, le scoperte e la passione religiosa inerente </w:t>
      </w:r>
      <w:proofErr w:type="gramStart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la</w:t>
      </w:r>
      <w:proofErr w:type="gram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 verità storica del nostro santo, mente non ha perso l’occasione per ribadire a “voce alta e chiara”, quanto il suo dipartimento culturale sta facendo per tutelare e promuovere il recupero, la tutela e la fruizione del patrimonio artistico presente nelle nostre chiese e che costituisce quasi il novanta per cento di quello della nostra regione.</w:t>
      </w:r>
    </w:p>
    <w:p w14:paraId="43BE9785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Inoltre, ha introdotto un concetto assai innovativo per il nostro territorio regionale: “Patrimonio culturale immateriale”. Una serie di interventi concreti che tuteleranno e promuoveranno anche il patrimonio delle nostre “feste patronali” dove, fede e cultura locale unitamente a trasparenza e correttezza delle modalità organizzative, esaltano le ricchezze, i valori e i profumi delle nostre comunità.</w:t>
      </w:r>
    </w:p>
    <w:p w14:paraId="38D104FC" w14:textId="77777777" w:rsid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</w:p>
    <w:p w14:paraId="01C798F8" w14:textId="6D56DFB5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 xml:space="preserve">Il prof. Di Gregorio, infine, da esperto conoscitore dei territori e della loro organizzazione, ha illustrato la fattibilità immediata del progetto delle “Vie </w:t>
      </w:r>
      <w:proofErr w:type="spellStart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Oronziane</w:t>
      </w:r>
      <w:proofErr w:type="spell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” nel “cammino” della via Francigena.</w:t>
      </w:r>
    </w:p>
    <w:p w14:paraId="614418CA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La giornata si è conclusa con la celebrazione di una solenne eucarestia sul piazzale antistante la parrocchia dello Spirito Santo di Botrugno, dove don Giovanni, il parroco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 xml:space="preserve">don Angelo </w:t>
      </w:r>
      <w:proofErr w:type="spellStart"/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Pede</w:t>
      </w:r>
      <w:proofErr w:type="spellEnd"/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e </w:t>
      </w:r>
      <w:r w:rsidRPr="00AF47EC">
        <w:rPr>
          <w:rFonts w:ascii="Helvetica" w:eastAsia="Times New Roman" w:hAnsi="Helvetica" w:cs="Times New Roman"/>
          <w:b/>
          <w:bCs/>
          <w:color w:val="4F4E53"/>
          <w:sz w:val="24"/>
          <w:szCs w:val="24"/>
          <w:lang w:eastAsia="it-IT"/>
        </w:rPr>
        <w:t>don Giuseppe</w:t>
      </w: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suo collaboratore, hanno preso parte alla presenza dei sindaci e della splendida comunità.</w:t>
      </w:r>
    </w:p>
    <w:p w14:paraId="0C77EE28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</w:t>
      </w:r>
    </w:p>
    <w:p w14:paraId="6FF826CE" w14:textId="77777777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  <w:t> </w:t>
      </w:r>
    </w:p>
    <w:p w14:paraId="1DF5A878" w14:textId="551D107D" w:rsidR="00AF47EC" w:rsidRPr="00AF47EC" w:rsidRDefault="00AF47EC" w:rsidP="00AF47EC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4F4E53"/>
          <w:sz w:val="24"/>
          <w:szCs w:val="24"/>
          <w:lang w:eastAsia="it-IT"/>
        </w:rPr>
      </w:pPr>
      <w:r w:rsidRPr="00AF47EC">
        <w:rPr>
          <w:rFonts w:ascii="Helvetica" w:eastAsia="Times New Roman" w:hAnsi="Helvetica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 wp14:anchorId="6199783B" wp14:editId="7710A87F">
            <wp:extent cx="5715000" cy="4292600"/>
            <wp:effectExtent l="0" t="0" r="0" b="0"/>
            <wp:docPr id="1" name="Immagine 1">
              <a:hlinkClick xmlns:a="http://schemas.openxmlformats.org/drawingml/2006/main" r:id="rId5" tooltip="&quot; (1/4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ooltip="&quot; (1/4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0C026" w14:textId="77777777" w:rsidR="009C1FCB" w:rsidRDefault="009C1FCB"/>
    <w:sectPr w:rsidR="009C1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EC"/>
    <w:rsid w:val="009C1FCB"/>
    <w:rsid w:val="00A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CDC6"/>
  <w15:chartTrackingRefBased/>
  <w15:docId w15:val="{9E4328D4-E970-4DF3-97E2-D359F8DA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F4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F47E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7E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F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47EC"/>
    <w:rPr>
      <w:b/>
      <w:bCs/>
    </w:rPr>
  </w:style>
  <w:style w:type="character" w:styleId="Enfasicorsivo">
    <w:name w:val="Emphasis"/>
    <w:basedOn w:val="Carpredefinitoparagrafo"/>
    <w:uiPriority w:val="20"/>
    <w:qFormat/>
    <w:rsid w:val="00AF4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ortalecce.it/images/ARCHIVIO/botrugnosoronzo/whatsapp-image-2022-02-21-at-17_10_32-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Di Gregorio</dc:creator>
  <cp:keywords/>
  <dc:description/>
  <cp:lastModifiedBy>Utente</cp:lastModifiedBy>
  <cp:revision>1</cp:revision>
  <dcterms:created xsi:type="dcterms:W3CDTF">2022-08-17T16:27:00Z</dcterms:created>
  <dcterms:modified xsi:type="dcterms:W3CDTF">2022-08-17T16:31:00Z</dcterms:modified>
</cp:coreProperties>
</file>